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ind w:firstLine="0"/>
        <w:shd w:val="clear" w:color="auto" w:fill="ffffff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                                                         Приложение 4</w:t>
      </w: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</w:p>
    <w:p>
      <w:pPr>
        <w:pStyle w:val="928"/>
        <w:shd w:val="clear" w:color="auto" w:fill="ffffff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                                                                     </w:t>
      </w:r>
      <w:r>
        <w:rPr>
          <w:color w:val="000000"/>
          <w:spacing w:val="-4"/>
          <w:sz w:val="28"/>
          <w:szCs w:val="28"/>
        </w:rPr>
        <w:t xml:space="preserve">                          </w:t>
      </w:r>
      <w:r>
        <w:rPr>
          <w:color w:val="000000"/>
          <w:spacing w:val="-4"/>
          <w:sz w:val="28"/>
          <w:szCs w:val="28"/>
        </w:rPr>
        <w:t xml:space="preserve">к аукционной документации</w:t>
      </w:r>
      <w:r>
        <w:rPr>
          <w:color w:val="000000"/>
          <w:spacing w:val="-4"/>
          <w:sz w:val="28"/>
          <w:szCs w:val="28"/>
        </w:rPr>
      </w:r>
      <w:r>
        <w:rPr>
          <w:color w:val="000000"/>
          <w:spacing w:val="-4"/>
          <w:sz w:val="28"/>
          <w:szCs w:val="28"/>
        </w:rPr>
      </w:r>
    </w:p>
    <w:p>
      <w:pPr>
        <w:pStyle w:val="92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28"/>
        <w:jc w:val="center"/>
        <w:rPr>
          <w:b/>
          <w:szCs w:val="28"/>
        </w:rPr>
      </w:pPr>
      <w:r>
        <w:rPr>
          <w:b/>
          <w:szCs w:val="28"/>
        </w:rPr>
        <w:t xml:space="preserve">Договор купли-продажи 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28"/>
        <w:jc w:val="center"/>
        <w:rPr>
          <w:b/>
          <w:szCs w:val="28"/>
        </w:rPr>
      </w:pPr>
      <w:r>
        <w:rPr>
          <w:b/>
          <w:szCs w:val="28"/>
        </w:rPr>
        <w:t xml:space="preserve">движимого имущества №__________________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28"/>
        <w:jc w:val="center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28"/>
        <w:jc w:val="both"/>
        <w:rPr>
          <w:b/>
          <w:szCs w:val="28"/>
        </w:rPr>
      </w:pPr>
      <w:r>
        <w:rPr>
          <w:b/>
          <w:szCs w:val="28"/>
        </w:rPr>
        <w:t xml:space="preserve"> г. Тамбов                                             </w:t>
      </w:r>
      <w:r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   «___»_____________ 202</w:t>
      </w:r>
      <w:r>
        <w:rPr>
          <w:b/>
          <w:szCs w:val="28"/>
        </w:rPr>
        <w:t xml:space="preserve">5</w:t>
      </w:r>
      <w:r>
        <w:rPr>
          <w:b/>
          <w:szCs w:val="28"/>
        </w:rPr>
        <w:t xml:space="preserve"> года</w:t>
      </w:r>
      <w:r>
        <w:rPr>
          <w:b/>
          <w:szCs w:val="28"/>
        </w:rPr>
      </w:r>
      <w:r>
        <w:rPr>
          <w:b/>
          <w:szCs w:val="28"/>
        </w:rPr>
      </w:r>
    </w:p>
    <w:p>
      <w:pPr>
        <w:pStyle w:val="928"/>
        <w:ind w:firstLine="567"/>
        <w:jc w:val="both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  <w:r>
        <w:rPr>
          <w:b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«Газпром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межрегионгаз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Тамбов»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именуемое в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дальнейшем «Продавец», в лице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Ляха Павла Тадеушевича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одной стороны, 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______________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именуем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дальнейшем «Покупатель»,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другой стороны, совместно именуемые «Сто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роны»,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заключили настоящий договор о нижеследующем.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1"/>
        </w:numPr>
        <w:ind w:left="0"/>
        <w:jc w:val="center"/>
        <w:spacing w:after="0" w:line="240" w:lineRule="auto"/>
        <w:tabs>
          <w:tab w:val="left" w:pos="851" w:leader="none"/>
          <w:tab w:val="left" w:pos="1276" w:leader="none"/>
        </w:tabs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Предмет договора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настоящему договору Продавец обязуется передать в собственность Покупателю, а Покупатель принять и оплатить на условиях настоящего договора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следующее движимое имущество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(далее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движимое имущество)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W w:w="9074" w:type="dxa"/>
        <w:tblInd w:w="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660"/>
      </w:tblGrid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  <w:tab w:val="left" w:pos="22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(тип ТС)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  <w:tab w:val="left" w:pos="22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выпуска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Шасси (рама)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Кузов (прицеп)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Модель, № двигателя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кузова (кабины)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транспортного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Пробег,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Мощность двигателя,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двигателя, куб.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Указан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настоящем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пункте движимо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 имущество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принадлежит Продавцу на праве собственности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видетельства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_______ от _________</w:t>
      </w:r>
      <w:r>
        <w:rPr>
          <w:rFonts w:ascii="Times New Roman" w:hAnsi="Times New Roman" w:eastAsia="Calibri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widowControl w:val="off"/>
        <w:tabs>
          <w:tab w:val="left" w:pos="1134" w:leader="none"/>
        </w:tabs>
        <w:rPr>
          <w:rFonts w:ascii="Times New Roman" w:hAnsi="Times New Roman" w:eastAsia="Arial" w:cs="Times New Roman"/>
          <w:sz w:val="28"/>
          <w:szCs w:val="28"/>
          <w:lang w:eastAsia="ar-SA"/>
        </w:rPr>
      </w:pP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1.2. Продавец</w:t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гарантирует, что </w:t>
      </w:r>
      <w:r>
        <w:rPr>
          <w:rFonts w:ascii="Times New Roman" w:hAnsi="Times New Roman" w:eastAsia="Calibri" w:cs="Times New Roman"/>
          <w:sz w:val="28"/>
          <w:szCs w:val="28"/>
          <w:lang w:eastAsia="ar-SA"/>
        </w:rPr>
        <w:t xml:space="preserve">движимое имущество, указанное в п. 1.1. настоящего договора,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 никому другому не продано, не заложено, в споре, под арестом и запретом не состоит и свободно от любых прав третьих лиц.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2. Стоимость и порядок расчетов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1276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Стоимость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движимого имущества по настоящему договору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составляет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включая НДС 20%.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1276" w:leader="none"/>
          <w:tab w:val="left" w:pos="156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Стоимость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движимого имущества установлена протоколом об итогах аукциона от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является окончательной и изменению не подлежит.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 w:cs="Times New Roman"/>
          <w:sz w:val="28"/>
          <w:szCs w:val="28"/>
          <w:lang w:eastAsia="ar-SA"/>
        </w:rPr>
      </w:pP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2.3. Покупатель оплачивает Продавцу оставшуюся часть стоимости </w:t>
      </w:r>
      <w:r>
        <w:rPr>
          <w:rFonts w:ascii="Times New Roman" w:hAnsi="Times New Roman" w:eastAsia="Calibri" w:cs="Times New Roman"/>
          <w:sz w:val="28"/>
          <w:szCs w:val="28"/>
          <w:lang w:eastAsia="ar-SA"/>
        </w:rPr>
        <w:t xml:space="preserve">движимого имущества</w:t>
      </w:r>
      <w:r>
        <w:rPr>
          <w:rFonts w:ascii="Times New Roman" w:hAnsi="Times New Roman" w:eastAsia="Calibri" w:cs="Times New Roman"/>
          <w:sz w:val="28"/>
          <w:szCs w:val="28"/>
          <w:lang w:eastAsia="ar-SA"/>
        </w:rPr>
        <w:t xml:space="preserve"> в размере </w:t>
      </w:r>
      <w:r>
        <w:rPr>
          <w:rFonts w:ascii="Times New Roman" w:hAnsi="Times New Roman" w:eastAsia="Calibri" w:cs="Times New Roman"/>
          <w:sz w:val="28"/>
          <w:szCs w:val="28"/>
          <w:lang w:eastAsia="ar-SA"/>
        </w:rPr>
        <w:t xml:space="preserve">_______________</w:t>
      </w:r>
      <w:r>
        <w:rPr>
          <w:rFonts w:ascii="Times New Roman" w:hAnsi="Times New Roman" w:eastAsia="Calibri" w:cs="Times New Roman"/>
          <w:sz w:val="28"/>
          <w:szCs w:val="28"/>
          <w:lang w:eastAsia="ar-SA"/>
        </w:rPr>
        <w:t xml:space="preserve"> руб.</w:t>
      </w:r>
      <w:r>
        <w:rPr>
          <w:rFonts w:ascii="Times New Roman" w:hAnsi="Times New Roman" w:eastAsia="Calibri" w:cs="Times New Roman"/>
          <w:sz w:val="28"/>
          <w:szCs w:val="28"/>
          <w:lang w:eastAsia="ar-SA"/>
        </w:rPr>
        <w:t xml:space="preserve">, составляющую разницу стоимости движимого имущества и задатка, 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в течение 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5 (п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яти) рабочих дней с момента заключения настоящего договора.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 w:cs="Times New Roman"/>
          <w:sz w:val="28"/>
          <w:szCs w:val="28"/>
          <w:lang w:eastAsia="ar-SA"/>
        </w:rPr>
      </w:pP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2.4. Задаток в сумме 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_________ 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рублей, внесенный Покупателем по договору о внесении задатка на участие в аукционе от __________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№ ________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, засчитывается в счет оплаты стоимости </w:t>
      </w:r>
      <w:r>
        <w:rPr>
          <w:rFonts w:ascii="Times New Roman" w:hAnsi="Times New Roman" w:eastAsia="Calibri" w:cs="Times New Roman"/>
          <w:sz w:val="28"/>
          <w:szCs w:val="28"/>
          <w:lang w:eastAsia="ar-SA"/>
        </w:rPr>
        <w:t xml:space="preserve">движимого имуществ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а по настоящему Договору.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Arial" w:cs="Times New Roman"/>
          <w:sz w:val="28"/>
          <w:szCs w:val="28"/>
          <w:lang w:eastAsia="ar-SA"/>
        </w:rPr>
      </w:pP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2.5. Обязательства Покупателя по оплате общей стоимости движимого имущества считаются исполненными с момента поступления денежных средств в полном размере на расчетный счет Продавца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в наличном порядке через кассу Продавца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.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</w:r>
    </w:p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3. Обязанности сторон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3.1. Обязанности Продавца: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3.1.1. Передать Покупателю по акту приема-передачи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движимое имущество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 течение 5 (пяти) рабочих дней с момента полной оплаты Покупателем стоимости движимого имущества, указанной в п. 2.1. настоящего договора.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 Обязанности Покупателя: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3.2.1. Оплатить стоимость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движимого имущества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размере и порядке, установленном настоящим договором.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3.2.2. В течение 10 (десяти) дней с момента приемки Покупателем движимого имущества обратиться с необходимыми документами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отделение ГИБДД УМВД РФ по месту регистрации транспортного средства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3.2.3.Нести расходы по оплате государственной пошлины при регистрации 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автотранспортного средства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4. Ответственность сторон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 неисполнение либо ненадлежащее исполнение своих обязательств по настоящему договору Стороны несут ответственность в соответствии с действующим законодательством.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4.2. Продавец вправе в одностороннем порядке расторгнуть настоящий договор в случае неисполнения Покупателем обязательств по оплате стоимости движимого имущества, указанной в п.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2.1. Настоящий договор считается расторгнутым с даты направления Продавцом Покупателю по месту его нахождения (регистрации) соответствующего уведомления о расторжении настоящего договора в одностороннем порядке, заказным письмом с уведомлением о вручении.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undefined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5. Обстоятельства неопределенной силы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 одна из сторон не несет ответственности за полное или частичное неисполнение условий настоящего договора, если это является следствием обстоятельств непреодолимой силы (форс-мажорных обстоятельств) таких как: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стихийные бедствия, эмбарго, война, народные волнения;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непредвиденные действия государственных органов.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5.2.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Сторона, ссылающаяся на форс-мажорные обстоятельства, обязана письменно известить другую Сторону в течение 10 дней со дня наступления данных обстоятельств. Отсутствие такого извещения лишает любую из Сторон права ссылаться на форс-мажорные обстоятельства.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извещении должны содержаться доказательства того, что соответствующее обстоятельство препятствует выполнению обязательств по настоящему договору. При соблюдении упомянутых условий Стороны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рассматривают возникшие проблемы по выполнению настоящего договора путем незамедлительных переговоров, где определяют способы достижения целей настоящего договора.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6. Особые условия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Все изменения и дополнения к настоящему договору считаются действительными, если они оформлены в письменном виде и подписаны Сторонами.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Споры, возникающие при выполнении обязательств по настоящему договору, Стороны будут стремиться решить путем переговоров и соглашений.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случае невозможности соглашения, разрешение спора осуществляется в судебных органах Тамбовской области.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6.4. Настоящий договор составлен в трех экземплярах, имеющих равную юридическую силу, два из которых Сторонам, один -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отделение ГИБДД УМВД РФ по месту регистрации транспортного средства Покупателем.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7. Адреса, реквизиты и подписи сторон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Продавец: ООО «Газпром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межрегионгаз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Тамбов»,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392000,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Тамбов,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ул. Интернациональная, д.11А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ИНН 6831020409; КПП  682901001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                        р/с 40702810104220000001 в Воронежском филиале АБ «РОССИЯ»,                                                к/с 30101810300000000677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БИК 042007677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енеральн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ый директор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______________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П.Т. Лях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Покупатель: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___________________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  <w:t xml:space="preserve">АКТ</w:t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  <w:t xml:space="preserve">приема-передачи движимого имущества </w:t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  <w:t xml:space="preserve">к договору купли-продажи движимого имущества </w:t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  <w:t xml:space="preserve">от «___» _________ 202</w:t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  <w:t xml:space="preserve">5</w:t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  <w:t xml:space="preserve"> г. №____________</w:t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spacing w:after="0" w:line="0" w:lineRule="atLeast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0" w:lineRule="atLeast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г. Тамбов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ab/>
        <w:t xml:space="preserve">        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«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___» _______ 202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0" w:lineRule="atLeast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0" w:lineRule="atLeast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Общество с ограниченной ответственностью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«Газпром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межрегионгаз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Тамбов»</w:t>
      </w:r>
      <w:r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именуемое в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дальнейшем «Продавец», в лице 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в лице </w:t>
      </w:r>
      <w:r>
        <w:rPr>
          <w:rFonts w:ascii="Times New Roman" w:hAnsi="Times New Roman" w:cs="Times New Roman"/>
          <w:sz w:val="28"/>
          <w:szCs w:val="28"/>
        </w:rPr>
        <w:t xml:space="preserve">генерального директора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Ляха Павла Тадеушевича</w:t>
      </w:r>
      <w:r/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одной стороны, и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______________________________________</w:t>
      </w:r>
      <w:r>
        <w:rPr>
          <w:rFonts w:ascii="Times New Roman" w:hAnsi="Times New Roman" w:eastAsia="Calibri" w:cs="Times New Roman"/>
          <w:b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именуем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  <w:t xml:space="preserve"> в</w:t>
      </w: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  <w:t xml:space="preserve"> дальнейшем «Покупатель»,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другой стороны, совместно именуемые «Стороны», заключили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настоящий акт о нижеследующем.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numPr>
          <w:ilvl w:val="0"/>
          <w:numId w:val="22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Продавец передал, а Покупатель принял в соответствии с договором купли-продажи движимого имущества от «_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_»_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_________ 202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5</w:t>
      </w:r>
      <w:r>
        <w:rPr>
          <w:rFonts w:ascii="Times New Roman" w:hAnsi="Times New Roman" w:eastAsia="Arial" w:cs="Times New Roman"/>
          <w:sz w:val="28"/>
          <w:szCs w:val="28"/>
          <w:lang w:eastAsia="ar-SA"/>
        </w:rPr>
        <w:t xml:space="preserve"> года №____________ (далее – Договор) следующее движимое имущество:</w:t>
      </w:r>
      <w:r>
        <w:rPr>
          <w:rFonts w:ascii="Times New Roman" w:hAnsi="Times New Roman" w:eastAsia="Calibri" w:cs="Times New Roman"/>
          <w:sz w:val="28"/>
          <w:szCs w:val="28"/>
          <w:lang w:eastAsia="ar-SA"/>
        </w:rPr>
      </w:r>
      <w:r>
        <w:rPr>
          <w:rFonts w:ascii="Times New Roman" w:hAnsi="Times New Roman" w:eastAsia="Calibri" w:cs="Times New Roman"/>
          <w:sz w:val="28"/>
          <w:szCs w:val="28"/>
          <w:lang w:eastAsia="ar-SA"/>
        </w:rPr>
      </w:r>
    </w:p>
    <w:p>
      <w:pPr>
        <w:ind w:left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8"/>
          <w:szCs w:val="28"/>
          <w:lang w:eastAsia="ar-SA"/>
        </w:rPr>
      </w:pPr>
      <w:r>
        <w:rPr>
          <w:rFonts w:ascii="Times New Roman" w:hAnsi="Times New Roman" w:eastAsia="Calibri" w:cs="Times New Roman"/>
          <w:sz w:val="28"/>
          <w:szCs w:val="28"/>
          <w:lang w:eastAsia="ar-SA"/>
        </w:rPr>
      </w:r>
      <w:r>
        <w:rPr>
          <w:rFonts w:ascii="Times New Roman" w:hAnsi="Times New Roman" w:eastAsia="Calibri" w:cs="Times New Roman"/>
          <w:sz w:val="28"/>
          <w:szCs w:val="28"/>
          <w:lang w:eastAsia="ar-SA"/>
        </w:rPr>
      </w:r>
      <w:r>
        <w:rPr>
          <w:rFonts w:ascii="Times New Roman" w:hAnsi="Times New Roman" w:eastAsia="Calibri" w:cs="Times New Roman"/>
          <w:sz w:val="28"/>
          <w:szCs w:val="28"/>
          <w:lang w:eastAsia="ar-SA"/>
        </w:rPr>
      </w:r>
    </w:p>
    <w:tbl>
      <w:tblPr>
        <w:tblW w:w="9074" w:type="dxa"/>
        <w:tblInd w:w="3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414"/>
        <w:gridCol w:w="4660"/>
      </w:tblGrid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  <w:tab w:val="left" w:pos="22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(тип ТС)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  <w:tab w:val="left" w:pos="226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 выпуска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Идентификационный номер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Шасси (рама)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Кузов (прицеп)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Модель, № двигателя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Цвет кузова (кабины)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транспортного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Пробег, км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Мощность двигателя,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4414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двигателя, куб.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60" w:type="dxa"/>
            <w:textDirection w:val="lrTb"/>
            <w:noWrap w:val="false"/>
          </w:tcPr>
          <w:p>
            <w:pPr>
              <w:spacing w:after="0" w:line="240" w:lineRule="auto"/>
              <w:tabs>
                <w:tab w:val="left" w:pos="-1985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both"/>
        <w:spacing w:after="0" w:line="0" w:lineRule="atLeast"/>
        <w:tabs>
          <w:tab w:val="left" w:pos="0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0" w:lineRule="atLeast"/>
        <w:tabs>
          <w:tab w:val="left" w:pos="0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Стороны подтверждают, что движимое имущество, указанное в п. 1 настоящего акта, стоимость которого составляет ___________________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включая НДС, передано в состоянии, отвечающем требованиям, предъявляемым к данному виду имущества.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0" w:lineRule="atLeast"/>
        <w:tabs>
          <w:tab w:val="left" w:pos="0" w:leader="none"/>
          <w:tab w:val="left" w:pos="1134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техническим состоянием движимого имущества Покупатель ознакомлен. Претензий Покупателя к Продавцу по поводу технического состояния движимого имущества не имеется.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Настоящий акт составлен в трех экземплярах, имеющих равную юридическую силу, два из которых Сторонам, один -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отделение ГИБДД УМВД РФ по месту регистрации транспортного средства Покупателем.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left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Адреса, реквизиты и подписи сторон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Продавец: ООО «Газпром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межрегионгаз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Тамбов»,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392000, г.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Тамбов, 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                        ул.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Интернациональная, д.11А, ИНН 6831020409; КПП 682901001,                                                    р/с 40702810104220000001 в Воронежском филиале АБ «РОССИЯ»,                                                к/с 30101810300000000677, БИК 042007677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Генеральный директор                           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______________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П.Т. Лях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8"/>
          <w:szCs w:val="28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  <w:r>
        <w:rPr>
          <w:rFonts w:ascii="Times New Roman" w:hAnsi="Times New Roman" w:eastAsia="Arial" w:cs="Times New Roman"/>
          <w:b/>
          <w:sz w:val="28"/>
          <w:szCs w:val="28"/>
          <w:lang w:eastAsia="ar-SA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Покупатель: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________________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jc w:val="both"/>
        <w:spacing w:line="0" w:lineRule="atLeast"/>
        <w:rPr>
          <w:b/>
          <w:szCs w:val="28"/>
        </w:rPr>
      </w:pPr>
      <w:r>
        <w:rPr>
          <w:b/>
          <w:szCs w:val="28"/>
        </w:rPr>
      </w:r>
      <w:r>
        <w:rPr>
          <w:b/>
          <w:szCs w:val="28"/>
        </w:rPr>
      </w:r>
    </w:p>
    <w:sectPr>
      <w:headerReference w:type="default" r:id="rId9"/>
      <w:headerReference w:type="even" r:id="rId10"/>
      <w:footerReference w:type="even" r:id="rId11"/>
      <w:footnotePr/>
      <w:endnotePr/>
      <w:type w:val="nextPage"/>
      <w:pgSz w:w="11906" w:h="16838" w:orient="portrait"/>
      <w:pgMar w:top="1134" w:right="851" w:bottom="993" w:left="1418" w:header="397" w:footer="34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MS Sans Serif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1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separate"/>
    </w:r>
    <w:r>
      <w:rPr>
        <w:rStyle w:val="943"/>
      </w:rPr>
      <w:t xml:space="preserve">6</w: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ind w:right="360"/>
      <w:rPr>
        <w:lang w:val="ru-RU"/>
      </w:rPr>
    </w:pPr>
    <w:r>
      <w:rPr>
        <w:lang w:val="ru-RU"/>
      </w:rPr>
    </w: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rPr>
        <w:rStyle w:val="943"/>
      </w:rPr>
      <w:framePr w:wrap="around" w:vAnchor="text" w:hAnchor="margin" w:xAlign="right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separate"/>
    </w:r>
    <w:r>
      <w:rPr>
        <w:rStyle w:val="943"/>
      </w:rPr>
      <w:t xml:space="preserve">3</w: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4"/>
      <w:ind w:right="3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54" w:hanging="454"/>
        <w:tabs>
          <w:tab w:val="num" w:pos="454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567"/>
        <w:tabs>
          <w:tab w:val="num" w:pos="42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  <w:tabs>
          <w:tab w:val="num" w:pos="928" w:leader="none"/>
        </w:tabs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isLgl w:val="false"/>
      <w:suff w:val="tab"/>
      <w:lvlText w:val="%2."/>
      <w:lvlJc w:val="left"/>
      <w:pPr>
        <w:ind w:left="1022" w:hanging="454"/>
        <w:tabs>
          <w:tab w:val="num" w:pos="1022" w:leader="none"/>
        </w:tabs>
      </w:pPr>
      <w:rPr>
        <w:rFonts w:ascii="Times New Roman" w:hAnsi="Times New Roman" w:eastAsia="Times New Roman" w:cs="Times New Roman"/>
        <w:b w:val="0"/>
        <w:color w:val="000000"/>
      </w:rPr>
    </w:lvl>
    <w:lvl w:ilvl="2">
      <w:start w:val="1"/>
      <w:numFmt w:val="decimal"/>
      <w:isLgl w:val="false"/>
      <w:suff w:val="tab"/>
      <w:lvlText w:val="%3."/>
      <w:lvlJc w:val="left"/>
      <w:pPr>
        <w:ind w:left="1561" w:hanging="567"/>
        <w:tabs>
          <w:tab w:val="num" w:pos="994" w:leader="none"/>
        </w:tabs>
      </w:pPr>
      <w:rPr>
        <w:rFonts w:ascii="Times New Roman" w:hAnsi="Times New Roman" w:eastAsia="Times New Roman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288" w:hanging="720"/>
        <w:tabs>
          <w:tab w:val="num" w:pos="1288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648" w:hanging="1080"/>
        <w:tabs>
          <w:tab w:val="num" w:pos="1648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648" w:hanging="1080"/>
        <w:tabs>
          <w:tab w:val="num" w:pos="1648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008" w:hanging="1440"/>
        <w:tabs>
          <w:tab w:val="num" w:pos="200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08" w:hanging="1440"/>
        <w:tabs>
          <w:tab w:val="num" w:pos="200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368" w:hanging="1800"/>
        <w:tabs>
          <w:tab w:val="num" w:pos="2368" w:leader="none"/>
        </w:tabs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174" w:hanging="720"/>
        <w:tabs>
          <w:tab w:val="num" w:pos="1174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628" w:hanging="720"/>
        <w:tabs>
          <w:tab w:val="num" w:pos="162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42" w:hanging="1080"/>
        <w:tabs>
          <w:tab w:val="num" w:pos="2442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96" w:hanging="1080"/>
        <w:tabs>
          <w:tab w:val="num" w:pos="289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10" w:hanging="1440"/>
        <w:tabs>
          <w:tab w:val="num" w:pos="371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64" w:hanging="1440"/>
        <w:tabs>
          <w:tab w:val="num" w:pos="416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78" w:hanging="1800"/>
        <w:tabs>
          <w:tab w:val="num" w:pos="49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32" w:hanging="1800"/>
        <w:tabs>
          <w:tab w:val="num" w:pos="5432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174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5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7"/>
      <w:numFmt w:val="decimal"/>
      <w:isLgl w:val="false"/>
      <w:suff w:val="tab"/>
      <w:lvlText w:val="%1.%2."/>
      <w:lvlJc w:val="left"/>
      <w:pPr>
        <w:ind w:left="1174" w:hanging="720"/>
        <w:tabs>
          <w:tab w:val="num" w:pos="1174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628" w:hanging="720"/>
        <w:tabs>
          <w:tab w:val="num" w:pos="1628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42" w:hanging="1080"/>
        <w:tabs>
          <w:tab w:val="num" w:pos="2442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96" w:hanging="1080"/>
        <w:tabs>
          <w:tab w:val="num" w:pos="2896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710" w:hanging="1440"/>
        <w:tabs>
          <w:tab w:val="num" w:pos="371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164" w:hanging="1440"/>
        <w:tabs>
          <w:tab w:val="num" w:pos="4164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78" w:hanging="1800"/>
        <w:tabs>
          <w:tab w:val="num" w:pos="4978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432" w:hanging="1800"/>
        <w:tabs>
          <w:tab w:val="num" w:pos="5432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54" w:hanging="454"/>
        <w:tabs>
          <w:tab w:val="num" w:pos="454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993" w:hanging="567"/>
        <w:tabs>
          <w:tab w:val="num" w:pos="42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  <w:rPr>
        <w:rFonts w:eastAsia="Times New Roman"/>
        <w:color w:val="000000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  <w:rPr>
        <w:rFonts w:eastAsia="Times New Roman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eastAsia="Times New Roman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eastAsia="Times New Roman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eastAsia="Times New Roman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eastAsia="Times New Roman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eastAsia="Times New Roman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eastAsia="Times New Roman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eastAsia="Times New Roman"/>
        <w:color w:val="00000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54" w:hanging="454"/>
        <w:tabs>
          <w:tab w:val="num" w:pos="454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21" w:hanging="567"/>
        <w:tabs>
          <w:tab w:val="num" w:pos="454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9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4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eastAsia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795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54" w:hanging="454"/>
        <w:tabs>
          <w:tab w:val="num" w:pos="454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702" w:hanging="567"/>
        <w:tabs>
          <w:tab w:val="num" w:pos="1135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795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454" w:hanging="454"/>
        <w:tabs>
          <w:tab w:val="num" w:pos="454" w:leader="none"/>
        </w:tabs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02" w:hanging="567"/>
        <w:tabs>
          <w:tab w:val="num" w:pos="1135" w:leader="none"/>
        </w:tabs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5" w:hanging="795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7"/>
  </w:num>
  <w:num w:numId="5">
    <w:abstractNumId w:val="3"/>
  </w:num>
  <w:num w:numId="6">
    <w:abstractNumId w:val="11"/>
  </w:num>
  <w:num w:numId="7">
    <w:abstractNumId w:val="4"/>
  </w:num>
  <w:num w:numId="8">
    <w:abstractNumId w:val="13"/>
  </w:num>
  <w:num w:numId="9">
    <w:abstractNumId w:val="0"/>
  </w:num>
  <w:num w:numId="10">
    <w:abstractNumId w:val="6"/>
  </w:num>
  <w:num w:numId="11">
    <w:abstractNumId w:val="15"/>
  </w:num>
  <w:num w:numId="12">
    <w:abstractNumId w:val="12"/>
  </w:num>
  <w:num w:numId="13">
    <w:abstractNumId w:val="2"/>
  </w:num>
  <w:num w:numId="14">
    <w:abstractNumId w:val="16"/>
  </w:num>
  <w:num w:numId="15">
    <w:abstractNumId w:val="17"/>
  </w:num>
  <w:num w:numId="16">
    <w:abstractNumId w:val="10"/>
  </w:num>
  <w:num w:numId="17">
    <w:abstractNumId w:val="9"/>
  </w:num>
  <w:num w:numId="18">
    <w:abstractNumId w:val="8"/>
  </w:num>
  <w:num w:numId="19">
    <w:abstractNumId w:val="1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Heading 1"/>
    <w:basedOn w:val="928"/>
    <w:next w:val="928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928"/>
    <w:next w:val="928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8"/>
    <w:next w:val="928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8"/>
    <w:next w:val="928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8"/>
    <w:next w:val="928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8"/>
    <w:next w:val="928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8"/>
    <w:next w:val="928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8"/>
    <w:next w:val="928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8"/>
    <w:next w:val="928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928"/>
    <w:uiPriority w:val="34"/>
    <w:qFormat/>
    <w:pPr>
      <w:contextualSpacing/>
      <w:ind w:left="720"/>
    </w:p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928"/>
    <w:next w:val="928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link w:val="770"/>
    <w:uiPriority w:val="10"/>
    <w:rPr>
      <w:sz w:val="48"/>
      <w:szCs w:val="48"/>
    </w:rPr>
  </w:style>
  <w:style w:type="paragraph" w:styleId="772">
    <w:name w:val="Subtitle"/>
    <w:basedOn w:val="928"/>
    <w:next w:val="928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link w:val="772"/>
    <w:uiPriority w:val="11"/>
    <w:rPr>
      <w:sz w:val="24"/>
      <w:szCs w:val="24"/>
    </w:rPr>
  </w:style>
  <w:style w:type="paragraph" w:styleId="774">
    <w:name w:val="Quote"/>
    <w:basedOn w:val="928"/>
    <w:next w:val="928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8"/>
    <w:next w:val="928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paragraph" w:styleId="778">
    <w:name w:val="Header"/>
    <w:basedOn w:val="928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Header Char"/>
    <w:link w:val="778"/>
    <w:uiPriority w:val="99"/>
  </w:style>
  <w:style w:type="paragraph" w:styleId="780">
    <w:name w:val="Footer"/>
    <w:basedOn w:val="928"/>
    <w:link w:val="7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Footer Char"/>
    <w:link w:val="780"/>
    <w:uiPriority w:val="99"/>
  </w:style>
  <w:style w:type="paragraph" w:styleId="782">
    <w:name w:val="Caption"/>
    <w:basedOn w:val="928"/>
    <w:next w:val="928"/>
    <w:link w:val="7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>
    <w:name w:val="Caption Char"/>
    <w:link w:val="782"/>
    <w:uiPriority w:val="35"/>
    <w:rPr>
      <w:b/>
      <w:bCs/>
      <w:color w:val="4f81bd" w:themeColor="accent1"/>
      <w:sz w:val="18"/>
      <w:szCs w:val="18"/>
    </w:rPr>
  </w:style>
  <w:style w:type="table" w:styleId="7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next w:val="928"/>
    <w:link w:val="928"/>
    <w:qFormat/>
    <w:rPr>
      <w:rFonts w:ascii="Times New Roman" w:hAnsi="Times New Roman" w:eastAsia="Times New Roman"/>
      <w:sz w:val="28"/>
      <w:lang w:val="ru-RU" w:eastAsia="ru-RU" w:bidi="ar-SA"/>
    </w:rPr>
  </w:style>
  <w:style w:type="paragraph" w:styleId="929">
    <w:name w:val="Заголовок 6"/>
    <w:basedOn w:val="928"/>
    <w:next w:val="928"/>
    <w:link w:val="952"/>
    <w:qFormat/>
    <w:pPr>
      <w:jc w:val="both"/>
      <w:keepNext/>
      <w:widowControl w:val="off"/>
      <w:outlineLvl w:val="5"/>
    </w:pPr>
    <w:rPr>
      <w:sz w:val="24"/>
      <w:lang w:val="en-US" w:eastAsia="en-US"/>
    </w:rPr>
  </w:style>
  <w:style w:type="character" w:styleId="930">
    <w:name w:val="Основной шрифт абзаца"/>
    <w:next w:val="930"/>
    <w:link w:val="928"/>
    <w:uiPriority w:val="1"/>
    <w:semiHidden/>
    <w:unhideWhenUsed/>
  </w:style>
  <w:style w:type="table" w:styleId="931">
    <w:name w:val="Обычная таблица"/>
    <w:next w:val="931"/>
    <w:link w:val="928"/>
    <w:uiPriority w:val="99"/>
    <w:semiHidden/>
    <w:unhideWhenUsed/>
    <w:qFormat/>
    <w:tblPr/>
  </w:style>
  <w:style w:type="numbering" w:styleId="932">
    <w:name w:val="Нет списка"/>
    <w:next w:val="932"/>
    <w:link w:val="928"/>
    <w:uiPriority w:val="99"/>
    <w:semiHidden/>
    <w:unhideWhenUsed/>
  </w:style>
  <w:style w:type="paragraph" w:styleId="933">
    <w:name w:val="Текст сноски"/>
    <w:basedOn w:val="928"/>
    <w:next w:val="933"/>
    <w:link w:val="934"/>
    <w:semiHidden/>
    <w:rPr>
      <w:sz w:val="20"/>
      <w:lang w:val="en-US"/>
    </w:rPr>
  </w:style>
  <w:style w:type="character" w:styleId="934">
    <w:name w:val="Текст сноски Знак"/>
    <w:next w:val="934"/>
    <w:link w:val="933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35">
    <w:name w:val="Основной текст,b,b Знак"/>
    <w:basedOn w:val="928"/>
    <w:next w:val="935"/>
    <w:link w:val="936"/>
    <w:pPr>
      <w:jc w:val="both"/>
    </w:pPr>
    <w:rPr>
      <w:sz w:val="24"/>
      <w:lang w:val="en-US"/>
    </w:rPr>
  </w:style>
  <w:style w:type="character" w:styleId="936">
    <w:name w:val="Основной текст Знак"/>
    <w:next w:val="936"/>
    <w:link w:val="935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37">
    <w:name w:val="Основной текст 2"/>
    <w:basedOn w:val="928"/>
    <w:next w:val="937"/>
    <w:link w:val="938"/>
    <w:pPr>
      <w:jc w:val="both"/>
    </w:pPr>
    <w:rPr>
      <w:b/>
      <w:sz w:val="24"/>
      <w:lang w:val="en-US"/>
    </w:rPr>
  </w:style>
  <w:style w:type="character" w:styleId="938">
    <w:name w:val="Основной текст 2 Знак"/>
    <w:next w:val="938"/>
    <w:link w:val="937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939">
    <w:name w:val="Основной текст с отступом"/>
    <w:basedOn w:val="928"/>
    <w:next w:val="939"/>
    <w:link w:val="940"/>
    <w:pPr>
      <w:ind w:left="426"/>
      <w:jc w:val="both"/>
    </w:pPr>
    <w:rPr>
      <w:sz w:val="24"/>
      <w:lang w:val="en-US"/>
    </w:rPr>
  </w:style>
  <w:style w:type="character" w:styleId="940">
    <w:name w:val="Основной текст с отступом Знак"/>
    <w:next w:val="940"/>
    <w:link w:val="93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41">
    <w:name w:val="Нижний колонтитул"/>
    <w:basedOn w:val="928"/>
    <w:next w:val="941"/>
    <w:link w:val="942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42">
    <w:name w:val="Нижний колонтитул Знак"/>
    <w:next w:val="942"/>
    <w:link w:val="941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3">
    <w:name w:val="Номер страницы"/>
    <w:basedOn w:val="930"/>
    <w:next w:val="943"/>
    <w:link w:val="928"/>
  </w:style>
  <w:style w:type="paragraph" w:styleId="944">
    <w:name w:val="Верхний колонтитул"/>
    <w:basedOn w:val="928"/>
    <w:next w:val="944"/>
    <w:link w:val="945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45">
    <w:name w:val="Верхний колонтитул Знак"/>
    <w:next w:val="945"/>
    <w:link w:val="94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46">
    <w:name w:val="DeltaView Insertion"/>
    <w:next w:val="946"/>
    <w:link w:val="928"/>
    <w:rPr>
      <w:b/>
      <w:color w:val="0000ff"/>
      <w:spacing w:val="0"/>
      <w:u w:val="single"/>
    </w:rPr>
  </w:style>
  <w:style w:type="paragraph" w:styleId="947">
    <w:name w:val="Основной текст 3"/>
    <w:basedOn w:val="928"/>
    <w:next w:val="947"/>
    <w:link w:val="948"/>
    <w:pPr>
      <w:spacing w:after="120"/>
    </w:pPr>
    <w:rPr>
      <w:sz w:val="16"/>
      <w:szCs w:val="16"/>
      <w:lang w:val="en-US"/>
    </w:rPr>
  </w:style>
  <w:style w:type="character" w:styleId="948">
    <w:name w:val="Основной текст 3 Знак"/>
    <w:next w:val="948"/>
    <w:link w:val="947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9">
    <w:name w:val="ConsPlusNormal"/>
    <w:next w:val="949"/>
    <w:link w:val="928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50">
    <w:name w:val="Основной текст с отступом 2"/>
    <w:basedOn w:val="928"/>
    <w:next w:val="950"/>
    <w:link w:val="951"/>
    <w:unhideWhenUsed/>
    <w:pPr>
      <w:ind w:left="283"/>
      <w:spacing w:after="120" w:line="480" w:lineRule="auto"/>
    </w:pPr>
    <w:rPr>
      <w:lang w:val="en-US" w:eastAsia="en-US"/>
    </w:rPr>
  </w:style>
  <w:style w:type="character" w:styleId="951">
    <w:name w:val="Основной текст с отступом 2 Знак"/>
    <w:next w:val="951"/>
    <w:link w:val="950"/>
    <w:rPr>
      <w:rFonts w:ascii="Times New Roman" w:hAnsi="Times New Roman" w:eastAsia="Times New Roman"/>
      <w:sz w:val="28"/>
    </w:rPr>
  </w:style>
  <w:style w:type="character" w:styleId="952">
    <w:name w:val="Заголовок 6 Знак"/>
    <w:next w:val="952"/>
    <w:link w:val="929"/>
    <w:rPr>
      <w:rFonts w:ascii="Times New Roman" w:hAnsi="Times New Roman" w:eastAsia="Times New Roman"/>
      <w:sz w:val="24"/>
    </w:rPr>
  </w:style>
  <w:style w:type="paragraph" w:styleId="953">
    <w:name w:val="Body Text 2"/>
    <w:basedOn w:val="928"/>
    <w:next w:val="953"/>
    <w:link w:val="928"/>
    <w:pPr>
      <w:ind w:firstLine="697"/>
      <w:jc w:val="both"/>
      <w:spacing w:before="620"/>
      <w:widowControl w:val="off"/>
    </w:pPr>
  </w:style>
  <w:style w:type="paragraph" w:styleId="954">
    <w:name w:val="Основной текст с отступом 3"/>
    <w:basedOn w:val="928"/>
    <w:next w:val="954"/>
    <w:link w:val="955"/>
    <w:pPr>
      <w:ind w:firstLine="709"/>
      <w:jc w:val="both"/>
      <w:widowControl w:val="off"/>
    </w:pPr>
    <w:rPr>
      <w:sz w:val="24"/>
      <w:lang w:val="en-US" w:eastAsia="en-US"/>
    </w:rPr>
  </w:style>
  <w:style w:type="character" w:styleId="955">
    <w:name w:val="Основной текст с отступом 3 Знак"/>
    <w:next w:val="955"/>
    <w:link w:val="954"/>
    <w:rPr>
      <w:rFonts w:ascii="Times New Roman" w:hAnsi="Times New Roman" w:eastAsia="Times New Roman"/>
      <w:sz w:val="24"/>
    </w:rPr>
  </w:style>
  <w:style w:type="paragraph" w:styleId="956">
    <w:name w:val="Iau?iue"/>
    <w:next w:val="956"/>
    <w:link w:val="928"/>
    <w:rPr>
      <w:rFonts w:ascii="MS Sans Serif" w:hAnsi="MS Sans Serif" w:eastAsia="Times New Roman"/>
      <w:lang w:val="en-US" w:eastAsia="ru-RU" w:bidi="ar-SA"/>
    </w:rPr>
  </w:style>
  <w:style w:type="character" w:styleId="957">
    <w:name w:val="Цветовое выделение"/>
    <w:next w:val="957"/>
    <w:link w:val="928"/>
    <w:uiPriority w:val="99"/>
    <w:rPr>
      <w:b/>
      <w:bCs/>
      <w:color w:val="26282f"/>
    </w:rPr>
  </w:style>
  <w:style w:type="character" w:styleId="958">
    <w:name w:val="Гиперссылка"/>
    <w:next w:val="958"/>
    <w:link w:val="928"/>
    <w:rPr>
      <w:color w:val="0000ff"/>
      <w:u w:val="single"/>
    </w:rPr>
  </w:style>
  <w:style w:type="paragraph" w:styleId="959">
    <w:name w:val="Текст выноски"/>
    <w:basedOn w:val="928"/>
    <w:next w:val="959"/>
    <w:link w:val="96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960">
    <w:name w:val="Текст выноски Знак"/>
    <w:next w:val="960"/>
    <w:link w:val="959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61" w:default="1">
    <w:name w:val="Default Paragraph Font"/>
    <w:uiPriority w:val="1"/>
    <w:semiHidden/>
    <w:unhideWhenUsed/>
  </w:style>
  <w:style w:type="numbering" w:styleId="962" w:default="1">
    <w:name w:val="No List"/>
    <w:uiPriority w:val="99"/>
    <w:semiHidden/>
    <w:unhideWhenUsed/>
  </w:style>
  <w:style w:type="table" w:styleId="96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f0680903</dc:creator>
  <cp:lastModifiedBy>f0680919</cp:lastModifiedBy>
  <cp:revision>14</cp:revision>
  <dcterms:created xsi:type="dcterms:W3CDTF">2020-05-15T14:03:00Z</dcterms:created>
  <dcterms:modified xsi:type="dcterms:W3CDTF">2025-12-03T06:04:12Z</dcterms:modified>
  <cp:version>983040</cp:version>
</cp:coreProperties>
</file>